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HEXASCALE</w:t>
      </w:r>
    </w:p>
    <w:p>
      <w:pPr>
        <w:jc w:val="center"/>
      </w:pPr>
      <w:r>
        <w:rPr>
          <w:b/>
          <w:sz w:val="56"/>
        </w:rPr>
        <w:t>Private Engineering AI Appliance</w:t>
      </w:r>
    </w:p>
    <w:p>
      <w:pPr>
        <w:jc w:val="center"/>
      </w:pPr>
      <w:r>
        <w:rPr>
          <w:i/>
          <w:sz w:val="32"/>
        </w:rPr>
        <w:t>Concept White Paper</w:t>
      </w:r>
    </w:p>
    <w:p/>
    <w:p>
      <w:pPr>
        <w:jc w:val="center"/>
      </w:pPr>
      <w:r>
        <w:rPr>
          <w:sz w:val="26"/>
        </w:rPr>
        <w:t>A physically owned, locally operated engineering intelligence platform designed to preserve and exploit an organization's accumulated technical knowledge.</w:t>
      </w:r>
    </w:p>
    <w:p/>
    <w:p>
      <w:pPr>
        <w:jc w:val="center"/>
      </w:pPr>
      <w:r>
        <w:rPr>
          <w:i/>
          <w:sz w:val="18"/>
        </w:rPr>
        <w:t>Conceptual architecture — subject to processor, thermal, power, networking, and workload validation.</w:t>
      </w:r>
    </w:p>
    <w:p>
      <w:r>
        <w:br w:type="page"/>
      </w:r>
    </w:p>
    <w:p>
      <w:pPr>
        <w:pStyle w:val="Heading1"/>
      </w:pPr>
      <w:r>
        <w:t>Executive Summary</w:t>
      </w:r>
    </w:p>
    <w:p>
      <w:r>
        <w:t>The HexaScale AI Matrix can be repositioned as an on-premises engineering intelligence platform for organizations that generate and protect substantial technical intellectual property. Rather than sending schematics, source code, CAD models, manufacturing files, test data, customer specifications, and proprietary designs to remote AI infrastructure, the engineering firm operates its own AI environment locally.</w:t>
      </w:r>
    </w:p>
    <w:p>
      <w:r>
        <w:t>The objective is not to reproduce a Frontier-class supercomputer. It is to create a system that can be more directly useful to an engineering organization: a private engineering knowledge and AI platform that understands the company's products, designs, documentation, tools, and accumulated engineering history while keeping that information under the company's physical control.</w:t>
      </w:r>
    </w:p>
    <w:p>
      <w:pPr>
        <w:pStyle w:val="Heading1"/>
      </w:pPr>
      <w:r>
        <w:t>1. What the Matrix Becomes</w:t>
      </w:r>
    </w:p>
    <w:p>
      <w:r>
        <w:t>The vertical Matrix becomes a private AI engineering server. The architecture developed to date provides a modular mechanical and electrical framework containing up to 540 replaceable compute modules arranged as 10 layers of 54 modules.</w:t>
      </w:r>
    </w:p>
    <w:p>
      <w:r>
        <w:t>The processor architecture does not have to remain tied to the original TC4D9 concept. Because the processor is carried on a replaceable piggyback board, the compute engine can evolve independently of the mechanical Matrix.</w:t>
      </w:r>
    </w:p>
    <w:p>
      <w:r>
        <w:t>At the base would be a high-performance AI accelerator, currently envisioned around an AMD Instinct MI300-class accelerator, together with bulk power conversion, networking, and system infrastructure.</w:t>
      </w:r>
    </w:p>
    <w:p>
      <w:pPr>
        <w:pStyle w:val="ListBullet"/>
      </w:pPr>
      <w:r>
        <w:t>Central accelerator: heavy AI inference, model execution, vector and matrix workloads.</w:t>
      </w:r>
    </w:p>
    <w:p>
      <w:pPr>
        <w:pStyle w:val="ListBullet"/>
      </w:pPr>
      <w:r>
        <w:t>Matrix modules: distributed engineering tasks, retrieval, preprocessing, indexing, simulation management, and specialized agents.</w:t>
      </w:r>
    </w:p>
    <w:p>
      <w:pPr>
        <w:pStyle w:val="ListBullet"/>
      </w:pPr>
      <w:r>
        <w:t>Distributed NVMe: private engineering knowledge repository and high-capacity local data storage.</w:t>
      </w:r>
    </w:p>
    <w:p>
      <w:r>
        <w:t>This heterogeneous division of labor avoids asking the distributed modules to duplicate workloads that a dedicated AI accelerator already performs efficiently.</w:t>
      </w:r>
    </w:p>
    <w:p>
      <w:pPr>
        <w:pStyle w:val="Heading1"/>
      </w:pPr>
      <w:r>
        <w:t>2. The Engineering Knowledge Vault</w:t>
      </w:r>
    </w:p>
    <w:p>
      <w:r>
        <w:t>A central commercial justification is the ability to ingest and retain an organization's engineering history locally. The system could index and correlate:</w:t>
      </w:r>
    </w:p>
    <w:p>
      <w:pPr>
        <w:pStyle w:val="ListBullet"/>
      </w:pPr>
      <w:r>
        <w:t>Altium projects, schematics, PCB layouts, fabrication outputs, and libraries.</w:t>
      </w:r>
    </w:p>
    <w:p>
      <w:pPr>
        <w:pStyle w:val="ListBullet"/>
      </w:pPr>
      <w:r>
        <w:t>STEP files and mechanical CAD assemblies.</w:t>
      </w:r>
    </w:p>
    <w:p>
      <w:pPr>
        <w:pStyle w:val="ListBullet"/>
      </w:pPr>
      <w:r>
        <w:t>Firmware and software repositories.</w:t>
      </w:r>
    </w:p>
    <w:p>
      <w:pPr>
        <w:pStyle w:val="ListBullet"/>
      </w:pPr>
      <w:r>
        <w:t>Component datasheets and application notes.</w:t>
      </w:r>
    </w:p>
    <w:p>
      <w:pPr>
        <w:pStyle w:val="ListBullet"/>
      </w:pPr>
      <w:r>
        <w:t>Test procedures, test results, oscilloscope captures, and logic-analyzer data.</w:t>
      </w:r>
    </w:p>
    <w:p>
      <w:pPr>
        <w:pStyle w:val="ListBullet"/>
      </w:pPr>
      <w:r>
        <w:t>BOMs, purchasing history, ECOs, and revision histories.</w:t>
      </w:r>
    </w:p>
    <w:p>
      <w:pPr>
        <w:pStyle w:val="ListBullet"/>
      </w:pPr>
      <w:r>
        <w:t>Patents, prior-art research, customer specifications, and engineering notebooks.</w:t>
      </w:r>
    </w:p>
    <w:p>
      <w:pPr>
        <w:pStyle w:val="ListBullet"/>
      </w:pPr>
      <w:r>
        <w:t>Field-service reports, photographs, failure analyses, regulatory files, and project correspondence.</w:t>
      </w:r>
    </w:p>
    <w:p>
      <w:r>
        <w:t>The objective is not merely storage. The Matrix would build a searchable engineering knowledge representation around these materials, allowing engineers to query relationships across projects and time.</w:t>
      </w:r>
    </w:p>
    <w:p>
      <w:r>
        <w:t>Example queries include: "Find every design where we used this regulator and show the feedback-network values," or "Find every PCB where this BGA package was used and compare the escape routing."</w:t>
      </w:r>
    </w:p>
    <w:p>
      <w:pPr>
        <w:pStyle w:val="Heading1"/>
      </w:pPr>
      <w:r>
        <w:t>3. Engineering Agents</w:t>
      </w:r>
    </w:p>
    <w:p>
      <w:r>
        <w:t>Hundreds of distributed compute resources become useful when treated as concurrent specialized engineering agents rather than as a single monolithic floating-point machine.</w:t>
      </w:r>
    </w:p>
    <w:p>
      <w:r>
        <w:t>A new PCB project could dispatch independent agents for power integrity, signal integrity, component lifecycle, datasheet compliance, schematic review, PCB-rule checking, BOM availability, firmware interfaces, thermal analysis, mechanical clearance, EMC risk, and documentation.</w:t>
      </w:r>
    </w:p>
    <w:p>
      <w:r>
        <w:t>A supervisory AI running on the central accelerator can coordinate those agents, reconcile their findings, and present engineering conclusions for human review. The engineer remains the design authority.</w:t>
      </w:r>
    </w:p>
    <w:p>
      <w:pPr>
        <w:pStyle w:val="Heading1"/>
      </w:pPr>
      <w:r>
        <w:t>4. Altium and CAD Applications</w:t>
      </w:r>
    </w:p>
    <w:p>
      <w:r>
        <w:t>The Matrix could learn an organization's established design practices by correlating schematic, PCB, fabrication, assembly, test, and field history as one continuous dataset.</w:t>
      </w:r>
    </w:p>
    <w:p>
      <w:r>
        <w:t>An engineer could ask: "Compare this power supply against every switching regulator we have successfully manufactured." The system could retrieve previous layouts, compare component placement, identify successful design patterns, and flag departures.</w:t>
      </w:r>
    </w:p>
    <w:p>
      <w:r>
        <w:t>The same principle applies to mechanical CAD. STEP assemblies could be evaluated against previous designs, enclosure constraints, manufacturing limitations, and known interference problems.</w:t>
      </w:r>
    </w:p>
    <w:p>
      <w:r>
        <w:t>This is a key advantage of a company-specific AI system: it can use proprietary engineering history unavailable to a general public model.</w:t>
      </w:r>
    </w:p>
    <w:p>
      <w:pPr>
        <w:pStyle w:val="Heading1"/>
      </w:pPr>
      <w:r>
        <w:t>5. Intellectual-Property Protection</w:t>
      </w:r>
    </w:p>
    <w:p>
      <w:r>
        <w:t>For many engineering organizations, confidentiality may be the primary reason to own the system. Unreleased products, defense-related designs, customer IP, source code, patentable inventions, and proprietary manufacturing processes can remain within the customer's physical and network boundary.</w:t>
      </w:r>
    </w:p>
    <w:p>
      <w:r>
        <w:t>An installation could be configured without unrestricted Internet access. Models and approved updates could be transferred through controlled mechanisms while engineering information remains inside the facility.</w:t>
      </w:r>
    </w:p>
    <w:p>
      <w:r>
        <w:t>Potential users include aerospace, defense, semiconductor development, medical-device, industrial-control, automotive, research-laboratory, and government engineering organizations.</w:t>
      </w:r>
    </w:p>
    <w:p>
      <w:pPr>
        <w:pStyle w:val="Heading1"/>
      </w:pPr>
      <w:r>
        <w:t>6. Massive Local Storage</w:t>
      </w:r>
    </w:p>
    <w:p>
      <w:r>
        <w:t>The original Matrix architecture envisioned very large distributed NVMe capacity. Even if the final design uses less than the theoretical maximum, the distributed-storage concept remains valuable.</w:t>
      </w:r>
    </w:p>
    <w:p>
      <w:r>
        <w:t>At the original maximum concept of 12 TB per module, 540 modules would provide 6.48 PB of raw local NVMe capacity.</w:t>
      </w:r>
    </w:p>
    <w:p>
      <w:r>
        <w:t>The more important architectural point is locality: substantial storage resides beside distributed compute resources, allowing computation to be moved toward the data rather than repeatedly transferring large engineering datasets to remote infrastructure.</w:t>
      </w:r>
    </w:p>
    <w:p>
      <w:pPr/>
      <w:r>
        <w:t>For a private engineering AI appliance, NVMe solid-state storage also provides a major reliability and performance advantage over conventional mechanical spinning-disk storage. SSDs eliminate spindle motors, bearings, actuator arms, and moving read/write heads, removing entire classes of mechanical wear and vibration-related failure modes. This is especially important in a tall, fan-cooled modular structure containing hundreds of storage devices.</w:t>
      </w:r>
    </w:p>
    <w:p>
      <w:pPr/>
      <w:r>
        <w:t>NVMe storage also provides dramatically lower access latency and much higher random I/O performance than hard-disk drives. AI retrieval, vector databases, indexing, engineering-file searches, and hundreds of concurrent agent workloads are dominated by non-sequential access, making NVMe particularly well matched to the Matrix architecture.</w:t>
      </w:r>
    </w:p>
    <w:p>
      <w:pPr/>
      <w:r>
        <w:t>Flash memory does have finite write endurance, so enterprise-grade NVMe devices should be selected according to workload and endurance requirements. However, for this application the absence of mechanical components, resistance to shock and vibration, high IOPS, low latency, and modular replaceability make NVMe the preferred primary storage technology. Mechanical hard drives, if used at all, would be better suited to secondary archival or backup storage outside the active Matrix compute fabric.</w:t>
      </w:r>
    </w:p>
    <w:p>
      <w:pPr>
        <w:pStyle w:val="Heading1"/>
      </w:pPr>
      <w:r>
        <w:t>7. Vertical Mechanical Architecture</w:t>
      </w:r>
    </w:p>
    <w:p>
      <w:r>
        <w:t>The current conceptual geometry uses 54 modules per layer and 10 layers, for 540 modules total. Approximate dimensions are:</w:t>
      </w:r>
    </w:p>
    <w:tbl>
      <w:tblPr>
        <w:tblStyle w:val="TableGrid"/>
        <w:tblW w:type="auto" w:w="0"/>
        <w:jc w:val="center"/>
        <w:tblLook w:firstColumn="1" w:firstRow="1" w:lastColumn="0" w:lastRow="0" w:noHBand="0" w:noVBand="1" w:val="04A0"/>
      </w:tblPr>
      <w:tblGrid>
        <w:gridCol w:w="4968"/>
        <w:gridCol w:w="4968"/>
      </w:tblGrid>
      <w:tr>
        <w:tc>
          <w:tcPr>
            <w:tcW w:type="dxa" w:w="4968"/>
          </w:tcPr>
          <w:p>
            <w:r>
              <w:t>Parameter</w:t>
            </w:r>
          </w:p>
        </w:tc>
        <w:tc>
          <w:tcPr>
            <w:tcW w:type="dxa" w:w="4968"/>
          </w:tcPr>
          <w:p>
            <w:r>
              <w:t>Conceptual Value</w:t>
            </w:r>
          </w:p>
        </w:tc>
      </w:tr>
      <w:tr>
        <w:tc>
          <w:tcPr>
            <w:tcW w:type="dxa" w:w="4968"/>
          </w:tcPr>
          <w:p>
            <w:r>
              <w:t>Compute modules per layer</w:t>
            </w:r>
          </w:p>
        </w:tc>
        <w:tc>
          <w:tcPr>
            <w:tcW w:type="dxa" w:w="4968"/>
          </w:tcPr>
          <w:p>
            <w:r>
              <w:t>54</w:t>
            </w:r>
          </w:p>
        </w:tc>
      </w:tr>
      <w:tr>
        <w:tc>
          <w:tcPr>
            <w:tcW w:type="dxa" w:w="4968"/>
          </w:tcPr>
          <w:p>
            <w:r>
              <w:t>Compute layers</w:t>
            </w:r>
          </w:p>
        </w:tc>
        <w:tc>
          <w:tcPr>
            <w:tcW w:type="dxa" w:w="4968"/>
          </w:tcPr>
          <w:p>
            <w:r>
              <w:t>10</w:t>
            </w:r>
          </w:p>
        </w:tc>
      </w:tr>
      <w:tr>
        <w:tc>
          <w:tcPr>
            <w:tcW w:type="dxa" w:w="4968"/>
          </w:tcPr>
          <w:p>
            <w:r>
              <w:t>Total modules</w:t>
            </w:r>
          </w:p>
        </w:tc>
        <w:tc>
          <w:tcPr>
            <w:tcW w:type="dxa" w:w="4968"/>
          </w:tcPr>
          <w:p>
            <w:r>
              <w:t>540</w:t>
            </w:r>
          </w:p>
        </w:tc>
      </w:tr>
      <w:tr>
        <w:tc>
          <w:tcPr>
            <w:tcW w:type="dxa" w:w="4968"/>
          </w:tcPr>
          <w:p>
            <w:r>
              <w:t>Matrix flat-to-flat</w:t>
            </w:r>
          </w:p>
        </w:tc>
        <w:tc>
          <w:tcPr>
            <w:tcW w:type="dxa" w:w="4968"/>
          </w:tcPr>
          <w:p>
            <w:r>
              <w:t>~35.1 in / 892 mm</w:t>
            </w:r>
          </w:p>
        </w:tc>
      </w:tr>
      <w:tr>
        <w:tc>
          <w:tcPr>
            <w:tcW w:type="dxa" w:w="4968"/>
          </w:tcPr>
          <w:p>
            <w:r>
              <w:t>Matrix point-to-point</w:t>
            </w:r>
          </w:p>
        </w:tc>
        <w:tc>
          <w:tcPr>
            <w:tcW w:type="dxa" w:w="4968"/>
          </w:tcPr>
          <w:p>
            <w:r>
              <w:t>~40.6 in / 1,030 mm</w:t>
            </w:r>
          </w:p>
        </w:tc>
      </w:tr>
      <w:tr>
        <w:tc>
          <w:tcPr>
            <w:tcW w:type="dxa" w:w="4968"/>
          </w:tcPr>
          <w:p>
            <w:r>
              <w:t>Compute-stack height</w:t>
            </w:r>
          </w:p>
        </w:tc>
        <w:tc>
          <w:tcPr>
            <w:tcW w:type="dxa" w:w="4968"/>
          </w:tcPr>
          <w:p>
            <w:r>
              <w:t>~59.1 in / 1,500 mm</w:t>
            </w:r>
          </w:p>
        </w:tc>
      </w:tr>
      <w:tr>
        <w:tc>
          <w:tcPr>
            <w:tcW w:type="dxa" w:w="4968"/>
          </w:tcPr>
          <w:p>
            <w:r>
              <w:t>Equipment base</w:t>
            </w:r>
          </w:p>
        </w:tc>
        <w:tc>
          <w:tcPr>
            <w:tcW w:type="dxa" w:w="4968"/>
          </w:tcPr>
          <w:p>
            <w:r>
              <w:t>~12 in / 305 mm</w:t>
            </w:r>
          </w:p>
        </w:tc>
      </w:tr>
      <w:tr>
        <w:tc>
          <w:tcPr>
            <w:tcW w:type="dxa" w:w="4968"/>
          </w:tcPr>
          <w:p>
            <w:r>
              <w:t>Height before upper cooling plenum</w:t>
            </w:r>
          </w:p>
        </w:tc>
        <w:tc>
          <w:tcPr>
            <w:tcW w:type="dxa" w:w="4968"/>
          </w:tcPr>
          <w:p>
            <w:r>
              <w:t>~71.1 in / 1,805 mm</w:t>
            </w:r>
          </w:p>
        </w:tc>
      </w:tr>
    </w:tbl>
    <w:p>
      <w:r>
        <w:t>An additional upper negative-pressure cooling plenum of approximately 8–10 inches is contemplated. The six-sided architecture exposes modules around the perimeter and supports individual service or replacement rather than requiring a single monolithic motherboard.</w:t>
      </w:r>
    </w:p>
    <w:p>
      <w:pPr>
        <w:pStyle w:val="Heading1"/>
      </w:pPr>
      <w:r>
        <w:t>8. Cooling Architecture</w:t>
      </w:r>
    </w:p>
    <w:p>
      <w:r>
        <w:t>The vertical geometry naturally supports bottom-to-top airflow. Intake or conditioned air enters through the base, passes through the heat-producing electronics, and is exhausted through a negative-pressure fan plenum at the top.</w:t>
      </w:r>
    </w:p>
    <w:p>
      <w:r>
        <w:t>Multiple fans can provide redundancy and allow airflow to track thermal demand. Optional Peltier-assisted intake conditioning could be offered for installations where ambient temperature requires it, rather than being mandatory for systems operating in controlled equipment rooms.</w:t>
      </w:r>
    </w:p>
    <w:p>
      <w:pPr>
        <w:pStyle w:val="Heading1"/>
      </w:pPr>
      <w:r>
        <w:t>9. Power Architecture</w:t>
      </w:r>
    </w:p>
    <w:p>
      <w:r>
        <w:t>A preliminary planning estimate of approximately 10 kW for a fully populated tower should not be treated as a final specification. Actual power depends primarily on the processor selected for the replaceable compute carrier, the central accelerator, storage population, and cooling requirements.</w:t>
      </w:r>
    </w:p>
    <w:p>
      <w:r>
        <w:t>The existing 24 V distributed-power concept remains attractive. The base converts facility power to the primary 24 V distribution system, while each module performs its own point-of-load conversion.</w:t>
      </w:r>
    </w:p>
    <w:p>
      <w:r>
        <w:t>A production design would likely divide the 24 V system into multiple protected distribution zones rather than carrying the full system current through a single trunk connection.</w:t>
      </w:r>
    </w:p>
    <w:p>
      <w:pPr>
        <w:pStyle w:val="Heading1"/>
      </w:pPr>
      <w:r>
        <w:t>10. Scaling</w:t>
      </w:r>
    </w:p>
    <w:p>
      <w:r>
        <w:t>The system need not be sold fully populated. A common mechanical platform could support partially populated configurations, allowing compute capacity and storage to scale with the customer's requirements and budget.</w:t>
      </w:r>
    </w:p>
    <w:p>
      <w:pPr>
        <w:pStyle w:val="ListBullet"/>
      </w:pPr>
      <w:r>
        <w:t>Entry configuration: partial module population.</w:t>
      </w:r>
    </w:p>
    <w:p>
      <w:pPr>
        <w:pStyle w:val="ListBullet"/>
      </w:pPr>
      <w:r>
        <w:t>Midrange configuration: approximately half population.</w:t>
      </w:r>
    </w:p>
    <w:p>
      <w:pPr>
        <w:pStyle w:val="ListBullet"/>
      </w:pPr>
      <w:r>
        <w:t>Full configuration: 540 modules.</w:t>
      </w:r>
    </w:p>
    <w:p>
      <w:pPr>
        <w:pStyle w:val="ListBullet"/>
      </w:pPr>
      <w:r>
        <w:t>Future expansion: multiple towers operating as a coordinated private cluster.</w:t>
      </w:r>
    </w:p>
    <w:p>
      <w:r>
        <w:t>Resource-aware system software would discover available modules and schedule workloads accordingly.</w:t>
      </w:r>
    </w:p>
    <w:p>
      <w:pPr>
        <w:pStyle w:val="Heading1"/>
      </w:pPr>
      <w:r>
        <w:t>11. Fundamental Architectural Change</w:t>
      </w:r>
    </w:p>
    <w:p>
      <w:r>
        <w:t>The most important architectural change is to stop defining the individual Matrix module around one specific processor.</w:t>
      </w:r>
    </w:p>
    <w:p>
      <w:r>
        <w:t>Instead, HexaScale should define a compute-carrier standard: mechanical envelope, 24 V input, network fabric, management interface, storage interface, thermal envelope, and backplane connector.</w:t>
      </w:r>
    </w:p>
    <w:p>
      <w:r>
        <w:t>The processor piggyback then becomes replaceable. A current generation might use an AMD Ryzen AI-class device or another AI-native SoC; future generations could use substantially faster devices without replacing the Matrix mechanical infrastructure.</w:t>
      </w:r>
    </w:p>
    <w:p>
      <w:r>
        <w:t>This makes the Matrix a long-lived computing platform rather than a one-generation processor design.</w:t>
      </w:r>
    </w:p>
    <w:p>
      <w:pPr>
        <w:pStyle w:val="Heading1"/>
      </w:pPr>
      <w:r>
        <w:t>12. Commercial Positioning</w:t>
      </w:r>
    </w:p>
    <w:p>
      <w:r>
        <w:t>The system should not be positioned primarily as a conventional supercomputer. Its differentiation is private engineering intelligence.</w:t>
      </w:r>
    </w:p>
    <w:p>
      <w:pPr>
        <w:jc w:val="center"/>
      </w:pPr>
      <w:r>
        <w:rPr>
          <w:b/>
          <w:sz w:val="32"/>
        </w:rPr>
        <w:t>HexaScale Private Engineering AI</w:t>
      </w:r>
    </w:p>
    <w:p>
      <w:pPr>
        <w:jc w:val="center"/>
      </w:pPr>
      <w:r>
        <w:rPr>
          <w:b/>
          <w:sz w:val="28"/>
        </w:rPr>
        <w:t>Your engineering knowledge. Your AI. Your building.</w:t>
      </w:r>
    </w:p>
    <w:p>
      <w:r>
        <w:t>The commercial question is not simply how many FLOPS the machine provides. The stronger question is how much an organization's accumulated engineering knowledge is worth, and whether that organization wants its AI capability permanently available without sending proprietary engineering information outside its control.</w:t>
      </w:r>
    </w:p>
    <w:p>
      <w:pPr>
        <w:pStyle w:val="Heading1"/>
      </w:pPr>
      <w:r>
        <w:t>Conclusion</w:t>
      </w:r>
    </w:p>
    <w:p>
      <w:r>
        <w:t>The earlier comparison against conventional exascale supercomputers exposed a weakness in the original general-purpose Matrix concept, but it also revealed a potentially stronger product.</w:t>
      </w:r>
    </w:p>
    <w:p>
      <w:r>
        <w:t>The Matrix does not need millions of processors. It needs enough high-performance AI compute to run capable models, together with sufficient distributed resources to allow many engineering tasks to operate concurrently against a large private technical knowledge base.</w:t>
      </w:r>
    </w:p>
    <w:p>
      <w:r>
        <w:t>Repositioned this way, the HexaScale Matrix becomes a physically owned, locally operated, massively parallel engineering intelligence system designed to preserve and exploit an organization's accumulated technical knowledge.</w:t>
      </w:r>
    </w:p>
    <w:p>
      <w:r>
        <w:t>This concept warrants future evaluation after the current priority engineering program is built, running, and validated.</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HexaScale Private Engineering AI Appliance | Concept White Paper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sz w:val="16"/>
      </w:rPr>
      <w:t>HEXASCALE | PRIVATE ENGINEERING AI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